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44" w:rsidRPr="000B254B" w:rsidRDefault="00502944" w:rsidP="0050294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Musica e devozione popolare</w:t>
      </w:r>
    </w:p>
    <w:p w:rsidR="00502944" w:rsidRDefault="00502944" w:rsidP="00502944">
      <w:pPr>
        <w:rPr>
          <w:rFonts w:ascii="Arial" w:hAnsi="Arial" w:cs="Arial"/>
          <w:b/>
          <w:sz w:val="20"/>
          <w:szCs w:val="20"/>
        </w:rPr>
      </w:pPr>
    </w:p>
    <w:p w:rsidR="00502944" w:rsidRDefault="00502944" w:rsidP="00502944">
      <w:pPr>
        <w:rPr>
          <w:rFonts w:ascii="Arial" w:hAnsi="Arial" w:cs="Arial"/>
          <w:b/>
          <w:sz w:val="20"/>
          <w:szCs w:val="20"/>
        </w:rPr>
      </w:pPr>
    </w:p>
    <w:p w:rsidR="00502944" w:rsidRDefault="00502944" w:rsidP="0050294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1.Il pellegrinaggio a Polsi</w:t>
      </w:r>
    </w:p>
    <w:p w:rsidR="00502944" w:rsidRPr="000F0C28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 l’1 e il 2 Settembre presso il santuario della Madonna di Polsi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sul territorio del comune di San Luca (RC)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ha luogo una manifestazione che ogni raccoglie numerose persone che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attraversando una delle zone più impervie della Calabria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vengono a rendere omaggio alla Madonna della Montagna. Da sempre questo luogo ha una doppia valenza nell’opinione pubblica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famoso non solo per questo tradizionale pellegrinaggio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ma anche perché posto associato alla ‘</w:t>
      </w:r>
      <w:r w:rsidRPr="000F0C28">
        <w:rPr>
          <w:rFonts w:cstheme="minorHAnsi"/>
          <w:i/>
          <w:sz w:val="24"/>
          <w:szCs w:val="24"/>
        </w:rPr>
        <w:t>ndrangheta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il cui fulcro risiederebbe proprio nel massiccio dell’Aspromonte.</w:t>
      </w: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difficoltà a raggiungere il sito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implica una notte di sosta al santuario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che si traduce in notte di preghiera e di veglia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dove la musica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ha un ruolo determinante per tutto il tempo. La musica protagonista è la Tarantella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che viene eseguita nella piazza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nelle baracche-ristoro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in strada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ma mai dentro il Santuario; dentro la chiesa vengono eseguiti solo canti religiosi e preghiere. </w:t>
      </w: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festa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come molte altre del territorio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vive un dualismo di fondo: il momento pagano si svolge fuori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caratterizzato da danze continue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musica eseguita da organetti e tamburelli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cibo e vino.</w:t>
      </w: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tarantella esprime l’identità stessa del pellegrinaggio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essa appare come lingua comune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musicale e coreutica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capace di unire un grande numero di persone provenienti da altri paesi calabresi.</w:t>
      </w: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tarantella viene danzata rigorosamente a coppia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che si posiziona al centro di una “ruota”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creata da persone che si predispongono a cerchio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che fungono sia da spettatori ma anche come possibili danzatori che possono subentrare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in un momento ben preciso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infatti la coppia si rinnova continuamente con un meccanismo di entrata e uscita del tipo:</w:t>
      </w:r>
    </w:p>
    <w:p w:rsidR="004C4127" w:rsidRDefault="004C4127" w:rsidP="00502944">
      <w:pPr>
        <w:spacing w:after="0" w:line="360" w:lineRule="auto"/>
        <w:rPr>
          <w:rFonts w:cstheme="minorHAnsi"/>
          <w:sz w:val="24"/>
          <w:szCs w:val="24"/>
        </w:rPr>
      </w:pPr>
    </w:p>
    <w:p w:rsidR="00502944" w:rsidRDefault="00502944" w:rsidP="00502944">
      <w:pPr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danzatore A- danzatore B</w:t>
      </w:r>
    </w:p>
    <w:p w:rsidR="00502944" w:rsidRDefault="00502944" w:rsidP="00502944">
      <w:pPr>
        <w:ind w:left="28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danzatore B- danzatore C</w:t>
      </w:r>
    </w:p>
    <w:p w:rsidR="00502944" w:rsidRDefault="00502944" w:rsidP="00502944">
      <w:pPr>
        <w:spacing w:after="0"/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danzatore C – danzatore D</w:t>
      </w:r>
      <w:r w:rsidR="00A14C1F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ecc.</w:t>
      </w:r>
    </w:p>
    <w:p w:rsidR="004C4127" w:rsidRDefault="004C4127" w:rsidP="00502944">
      <w:pPr>
        <w:spacing w:after="0"/>
        <w:ind w:left="4248"/>
        <w:rPr>
          <w:rFonts w:cstheme="minorHAnsi"/>
          <w:sz w:val="24"/>
          <w:szCs w:val="24"/>
        </w:rPr>
      </w:pP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Solitamente c’è sempre qualcuno che assurge a ruolo di </w:t>
      </w:r>
      <w:proofErr w:type="spellStart"/>
      <w:r w:rsidRPr="0049147B">
        <w:rPr>
          <w:rFonts w:cstheme="minorHAnsi"/>
          <w:i/>
          <w:sz w:val="24"/>
          <w:szCs w:val="24"/>
        </w:rPr>
        <w:t>mastru</w:t>
      </w:r>
      <w:proofErr w:type="spellEnd"/>
      <w:r>
        <w:rPr>
          <w:rFonts w:cstheme="minorHAnsi"/>
          <w:sz w:val="24"/>
          <w:szCs w:val="24"/>
        </w:rPr>
        <w:t xml:space="preserve"> ‘</w:t>
      </w:r>
      <w:r>
        <w:rPr>
          <w:rFonts w:cstheme="minorHAnsi"/>
          <w:i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49147B">
        <w:rPr>
          <w:rFonts w:cstheme="minorHAnsi"/>
          <w:i/>
          <w:sz w:val="24"/>
          <w:szCs w:val="24"/>
        </w:rPr>
        <w:t>ballu</w:t>
      </w:r>
      <w:proofErr w:type="spellEnd"/>
      <w:r w:rsidR="00A14C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che gestisce la danza e che può rientrare a suo piacimento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prendendo il posto di un danzatore oppure uscire chiamando un altro danzatore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rinnovando e ricostruendo la coppia di ballo.</w:t>
      </w:r>
    </w:p>
    <w:p w:rsidR="004C4127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Gli strumenti chiave della tarantella sono l’organetto a due bassi e il tamburello. </w:t>
      </w: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formazione che si riscontra è soprattutto un organetto e due tamburelli. I suonatori si alternano liberamente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anche perché la musica è una costante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e quindi servono “braccia” che si alternino in continuazione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per darsi il cambio e riposarsi a turno.</w:t>
      </w: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all’esterno non vi è mai silenzio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in chiesa si alternano vari momenti: quello in cui non vi è una funzione liturgica diretta dal sacerdote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è possibile che avvengano canti del tutto spontanei sia in dialetto che in italiano. Mentre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invece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nel momento in cui sia presente qualcuno della gerarchia ecclesiastica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 canti sono guidati al microfono e accompagnati da tastiera.</w:t>
      </w: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pellegrinaggio alla Madonna di Polsi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anche se con il passare degli anni ha subito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inevitabilmente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dei cambiamenti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rappresenta ancora oggi un’intensa esperienza di tradizione e folklore di questa terra.</w:t>
      </w: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È interessante ricordare come tra il 1953 e il 1954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Diego </w:t>
      </w:r>
      <w:proofErr w:type="spellStart"/>
      <w:r>
        <w:rPr>
          <w:rFonts w:cstheme="minorHAnsi"/>
          <w:sz w:val="24"/>
          <w:szCs w:val="24"/>
        </w:rPr>
        <w:t>Carpitella</w:t>
      </w:r>
      <w:proofErr w:type="spellEnd"/>
      <w:r>
        <w:rPr>
          <w:rFonts w:cstheme="minorHAnsi"/>
          <w:sz w:val="24"/>
          <w:szCs w:val="24"/>
        </w:rPr>
        <w:t xml:space="preserve"> collaborò con l’etnomusicologo statunitense Alan </w:t>
      </w:r>
      <w:proofErr w:type="spellStart"/>
      <w:r>
        <w:rPr>
          <w:rFonts w:cstheme="minorHAnsi"/>
          <w:sz w:val="24"/>
          <w:szCs w:val="24"/>
        </w:rPr>
        <w:t>Lomax</w:t>
      </w:r>
      <w:proofErr w:type="spellEnd"/>
      <w:r>
        <w:rPr>
          <w:rStyle w:val="Rimandonotaapidipagina"/>
          <w:rFonts w:cstheme="minorHAnsi"/>
          <w:sz w:val="24"/>
          <w:szCs w:val="24"/>
        </w:rPr>
        <w:footnoteReference w:id="1"/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conducendo una vasta opera di registrazione sul campo in varie zone d’Italia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 cui la Calabria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che ancora oggi rappresentano un’affascinante e straordinaria testimonianza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degna di essere conosciuta da tutti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non soltanto da coloro che decidono di avvicinarsi allo studio dell’etnomusicologia. </w:t>
      </w: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La Festa di San Leone</w:t>
      </w:r>
    </w:p>
    <w:p w:rsidR="00502944" w:rsidRPr="00F1797C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 w:rsidRPr="00F1797C">
        <w:rPr>
          <w:rFonts w:cstheme="minorHAnsi"/>
          <w:sz w:val="24"/>
          <w:szCs w:val="24"/>
        </w:rPr>
        <w:t>A Saracena (CS)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un piccolo paese (il mio!)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ogni anno ha luogo la festa di San Leone. Leone II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detto anche il Taumaturgo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per gli innumerevoli miracoli operati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viene celebrato il 20 Febbraio; anche se la parte più suggestiva e gioiosa della festa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ha luogo la sera del 19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dove le strade del paese si affollano di gente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che prende parte alla processione e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dove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al tramonto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vengono accesi i tradizionali falò (</w:t>
      </w:r>
      <w:proofErr w:type="spellStart"/>
      <w:r w:rsidRPr="00F1797C">
        <w:rPr>
          <w:rFonts w:cstheme="minorHAnsi"/>
          <w:i/>
          <w:sz w:val="24"/>
          <w:szCs w:val="24"/>
        </w:rPr>
        <w:t>fucarazzi</w:t>
      </w:r>
      <w:proofErr w:type="spellEnd"/>
      <w:r w:rsidRPr="00F1797C">
        <w:rPr>
          <w:rFonts w:cstheme="minorHAnsi"/>
          <w:i/>
          <w:sz w:val="24"/>
          <w:szCs w:val="24"/>
        </w:rPr>
        <w:t>)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che scoppietteranno fino al mattino seguente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 xml:space="preserve">alimentati continuamente dalla </w:t>
      </w:r>
      <w:r w:rsidRPr="00F1797C">
        <w:rPr>
          <w:rFonts w:cstheme="minorHAnsi"/>
          <w:i/>
          <w:sz w:val="24"/>
          <w:szCs w:val="24"/>
        </w:rPr>
        <w:t>frasca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un insieme di arbusti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tra cui la ginestra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che vengono raccolti in campagna o in montagna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nei giorni precedenti.</w:t>
      </w: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 w:rsidRPr="00F1797C">
        <w:rPr>
          <w:rFonts w:cstheme="minorHAnsi"/>
          <w:sz w:val="24"/>
          <w:szCs w:val="24"/>
        </w:rPr>
        <w:t>La processione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ha inizio all’uscita della chiesa principale del paese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che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ovviamente porta il nome del Santo: da qui si procede verso la piazza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 xml:space="preserve">dove il corpo della processione si anima </w:t>
      </w:r>
      <w:r w:rsidRPr="00F1797C">
        <w:rPr>
          <w:rFonts w:cstheme="minorHAnsi"/>
          <w:sz w:val="24"/>
          <w:szCs w:val="24"/>
        </w:rPr>
        <w:lastRenderedPageBreak/>
        <w:t>sempre più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con canti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balli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musica e strumenti tradizionali (ciaramella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 xml:space="preserve">cupa </w:t>
      </w:r>
      <w:proofErr w:type="spellStart"/>
      <w:r w:rsidRPr="00F1797C">
        <w:rPr>
          <w:rFonts w:cstheme="minorHAnsi"/>
          <w:sz w:val="24"/>
          <w:szCs w:val="24"/>
        </w:rPr>
        <w:t>cupa</w:t>
      </w:r>
      <w:proofErr w:type="spellEnd"/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fisarmonica</w:t>
      </w:r>
      <w:r w:rsidR="00A14C1F">
        <w:rPr>
          <w:rFonts w:cstheme="minorHAnsi"/>
          <w:sz w:val="24"/>
          <w:szCs w:val="24"/>
        </w:rPr>
        <w:t xml:space="preserve">, </w:t>
      </w:r>
      <w:r w:rsidRPr="00F1797C">
        <w:rPr>
          <w:rFonts w:cstheme="minorHAnsi"/>
          <w:sz w:val="24"/>
          <w:szCs w:val="24"/>
        </w:rPr>
        <w:t>organetto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tamburello e zampogna)</w:t>
      </w:r>
    </w:p>
    <w:p w:rsidR="00502944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Questo lungo codone si snoda per le strade del paese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fino a fare ritorno in chiesa per rendere omaggio al Santo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che per l’occasione viene posto sull’altare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qui le persone si alternano tra canti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suoni e grida. </w:t>
      </w:r>
    </w:p>
    <w:p w:rsidR="00502944" w:rsidRPr="00F1797C" w:rsidRDefault="00502944" w:rsidP="0050294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contrario dell’esempio precedentemente citato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 Saracena non esiste alcuna scissione tra musica in chiesa e musica esterna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 momento sacro e momento pagano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anzi</w:t>
      </w:r>
      <w:r w:rsidR="00A14C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la scena a cui si assiste in chiesa è senza dubbio la parte più affascinante ed emozionante di tutta la festa.</w:t>
      </w:r>
    </w:p>
    <w:p w:rsidR="00214EEE" w:rsidRDefault="00E724D3" w:rsidP="00502944">
      <w:pPr>
        <w:spacing w:after="0" w:line="360" w:lineRule="auto"/>
      </w:pPr>
    </w:p>
    <w:sectPr w:rsidR="00214EEE" w:rsidSect="004C4127">
      <w:pgSz w:w="11906" w:h="16838"/>
      <w:pgMar w:top="1418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4D3" w:rsidRDefault="00E724D3" w:rsidP="00502944">
      <w:pPr>
        <w:spacing w:after="0" w:line="240" w:lineRule="auto"/>
      </w:pPr>
      <w:r>
        <w:separator/>
      </w:r>
    </w:p>
  </w:endnote>
  <w:endnote w:type="continuationSeparator" w:id="0">
    <w:p w:rsidR="00E724D3" w:rsidRDefault="00E724D3" w:rsidP="0050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4D3" w:rsidRDefault="00E724D3" w:rsidP="00502944">
      <w:pPr>
        <w:spacing w:after="0" w:line="240" w:lineRule="auto"/>
      </w:pPr>
      <w:r>
        <w:separator/>
      </w:r>
    </w:p>
  </w:footnote>
  <w:footnote w:type="continuationSeparator" w:id="0">
    <w:p w:rsidR="00E724D3" w:rsidRDefault="00E724D3" w:rsidP="00502944">
      <w:pPr>
        <w:spacing w:after="0" w:line="240" w:lineRule="auto"/>
      </w:pPr>
      <w:r>
        <w:continuationSeparator/>
      </w:r>
    </w:p>
  </w:footnote>
  <w:footnote w:id="1">
    <w:p w:rsidR="00502944" w:rsidRPr="00382950" w:rsidRDefault="00502944" w:rsidP="00502944">
      <w:pPr>
        <w:pStyle w:val="Testonotaapidipagina"/>
      </w:pPr>
      <w:r>
        <w:rPr>
          <w:rStyle w:val="Rimandonotaapidipagina"/>
        </w:rPr>
        <w:footnoteRef/>
      </w:r>
      <w:r>
        <w:t xml:space="preserve"> A. </w:t>
      </w:r>
      <w:proofErr w:type="spellStart"/>
      <w:r>
        <w:t>Lomax</w:t>
      </w:r>
      <w:proofErr w:type="spellEnd"/>
      <w:r w:rsidR="00A14C1F">
        <w:t xml:space="preserve">, </w:t>
      </w:r>
      <w:r>
        <w:rPr>
          <w:i/>
        </w:rPr>
        <w:t>L’anno più felice della mia vita. Un viaggio in Italia 1954-1955</w:t>
      </w:r>
      <w:r w:rsidR="00A14C1F">
        <w:t xml:space="preserve">, </w:t>
      </w:r>
      <w:r>
        <w:t>Il Saggiatore</w:t>
      </w:r>
      <w:r w:rsidR="00A14C1F">
        <w:t xml:space="preserve">, </w:t>
      </w:r>
      <w:r>
        <w:t>Milano</w:t>
      </w:r>
      <w:r w:rsidR="00A14C1F">
        <w:t xml:space="preserve">, </w:t>
      </w:r>
      <w:r>
        <w:t>2008.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944"/>
    <w:rsid w:val="000713AC"/>
    <w:rsid w:val="001C2000"/>
    <w:rsid w:val="0031788E"/>
    <w:rsid w:val="003979FC"/>
    <w:rsid w:val="004145AC"/>
    <w:rsid w:val="00415A7B"/>
    <w:rsid w:val="004C4127"/>
    <w:rsid w:val="00502944"/>
    <w:rsid w:val="005759FA"/>
    <w:rsid w:val="006D7305"/>
    <w:rsid w:val="00831548"/>
    <w:rsid w:val="008F33DD"/>
    <w:rsid w:val="00942819"/>
    <w:rsid w:val="009E3D51"/>
    <w:rsid w:val="00A14C1F"/>
    <w:rsid w:val="00AB7BD8"/>
    <w:rsid w:val="00C764FA"/>
    <w:rsid w:val="00E724D3"/>
    <w:rsid w:val="00F6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Arial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944"/>
    <w:rPr>
      <w:rFonts w:asciiTheme="minorHAnsi" w:hAnsiTheme="minorHAnsi" w:cstheme="minorBid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7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7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7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79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979FC"/>
    <w:pPr>
      <w:spacing w:after="100"/>
    </w:pPr>
    <w:rPr>
      <w:rFonts w:ascii="Palatino Linotype" w:eastAsiaTheme="minorEastAsia" w:hAnsi="Palatino Linotype" w:cs="Arial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979FC"/>
    <w:pPr>
      <w:spacing w:after="100"/>
      <w:ind w:left="220"/>
    </w:pPr>
    <w:rPr>
      <w:rFonts w:ascii="Palatino Linotype" w:eastAsiaTheme="minorEastAsia" w:hAnsi="Palatino Linotype" w:cs="Arial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3979FC"/>
    <w:pPr>
      <w:spacing w:after="100"/>
      <w:ind w:left="440"/>
    </w:pPr>
    <w:rPr>
      <w:rFonts w:ascii="Palatino Linotype" w:eastAsiaTheme="minorEastAsia" w:hAnsi="Palatino Linotype" w:cs="Arial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3979FC"/>
    <w:pPr>
      <w:outlineLvl w:val="9"/>
    </w:pPr>
  </w:style>
  <w:style w:type="paragraph" w:styleId="Nessunaspaziatura">
    <w:name w:val="No Spacing"/>
    <w:uiPriority w:val="1"/>
    <w:qFormat/>
    <w:rsid w:val="003979FC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979FC"/>
    <w:pPr>
      <w:ind w:left="720"/>
      <w:contextualSpacing/>
    </w:pPr>
    <w:rPr>
      <w:rFonts w:ascii="Palatino Linotype" w:hAnsi="Palatino Linotype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294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2944"/>
    <w:rPr>
      <w:rFonts w:asciiTheme="minorHAnsi" w:hAnsiTheme="minorHAnsi" w:cstheme="minorBid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29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3</cp:revision>
  <dcterms:created xsi:type="dcterms:W3CDTF">2019-11-20T18:12:00Z</dcterms:created>
  <dcterms:modified xsi:type="dcterms:W3CDTF">2019-11-20T18:31:00Z</dcterms:modified>
</cp:coreProperties>
</file>