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D6" w:rsidRDefault="007310D6" w:rsidP="00E92BCA">
      <w:pPr>
        <w:pStyle w:val="Titolo1"/>
        <w:spacing w:before="0" w:line="587" w:lineRule="atLeast"/>
        <w:jc w:val="both"/>
        <w:textAlignment w:val="baseline"/>
        <w:rPr>
          <w:rFonts w:ascii="Arial" w:hAnsi="Arial" w:cs="Arial"/>
          <w:b w:val="0"/>
          <w:bCs w:val="0"/>
          <w:color w:val="026B89"/>
          <w:sz w:val="51"/>
          <w:szCs w:val="51"/>
        </w:rPr>
      </w:pPr>
      <w:proofErr w:type="spellStart"/>
      <w:r>
        <w:rPr>
          <w:rFonts w:ascii="Arial" w:hAnsi="Arial" w:cs="Arial"/>
          <w:b w:val="0"/>
          <w:bCs w:val="0"/>
          <w:color w:val="026B89"/>
          <w:sz w:val="51"/>
          <w:szCs w:val="51"/>
        </w:rPr>
        <w:t>Costruzionismo</w:t>
      </w:r>
      <w:proofErr w:type="spellEnd"/>
      <w:r>
        <w:rPr>
          <w:rFonts w:ascii="Arial" w:hAnsi="Arial" w:cs="Arial"/>
          <w:b w:val="0"/>
          <w:bCs w:val="0"/>
          <w:color w:val="026B89"/>
          <w:sz w:val="51"/>
          <w:szCs w:val="51"/>
        </w:rPr>
        <w:t xml:space="preserve"> sociale</w:t>
      </w:r>
    </w:p>
    <w:p w:rsidR="007310D6" w:rsidRDefault="007310D6" w:rsidP="00E92BCA">
      <w:pPr>
        <w:pStyle w:val="Titolo2"/>
        <w:spacing w:before="150" w:after="150" w:line="396" w:lineRule="atLeast"/>
        <w:jc w:val="both"/>
        <w:textAlignment w:val="baseline"/>
        <w:rPr>
          <w:rFonts w:ascii="Arial" w:hAnsi="Arial" w:cs="Arial"/>
          <w:b w:val="0"/>
          <w:bCs w:val="0"/>
          <w:color w:val="7D7D7D"/>
          <w:sz w:val="33"/>
          <w:szCs w:val="33"/>
        </w:rPr>
      </w:pPr>
      <w:r>
        <w:rPr>
          <w:rFonts w:ascii="Arial" w:hAnsi="Arial" w:cs="Arial"/>
          <w:b w:val="0"/>
          <w:bCs w:val="0"/>
          <w:color w:val="7D7D7D"/>
          <w:sz w:val="33"/>
          <w:szCs w:val="33"/>
        </w:rPr>
        <w:t>Le idee essenziali delle teorie che attualmente orientano il Lavoro sociale</w:t>
      </w:r>
    </w:p>
    <w:p w:rsidR="007310D6" w:rsidRDefault="007310D6" w:rsidP="00E92BCA">
      <w:pPr>
        <w:pStyle w:val="Titolo3"/>
        <w:spacing w:before="0" w:line="324" w:lineRule="atLeast"/>
        <w:jc w:val="both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</w:rPr>
        <w:t xml:space="preserve">Il </w:t>
      </w:r>
      <w:proofErr w:type="spellStart"/>
      <w:r>
        <w:rPr>
          <w:rFonts w:ascii="Arial" w:hAnsi="Arial" w:cs="Arial"/>
          <w:color w:val="111111"/>
        </w:rPr>
        <w:t>Costruzionismo</w:t>
      </w:r>
      <w:proofErr w:type="spellEnd"/>
      <w:r>
        <w:rPr>
          <w:rFonts w:ascii="Arial" w:hAnsi="Arial" w:cs="Arial"/>
          <w:color w:val="111111"/>
        </w:rPr>
        <w:t xml:space="preserve"> sociale è un approccio teorico caratterizzato da quattro principali tematiche.</w:t>
      </w:r>
    </w:p>
    <w:p w:rsidR="007310D6" w:rsidRPr="007310D6" w:rsidRDefault="007310D6" w:rsidP="00E92BCA">
      <w:pPr>
        <w:spacing w:before="180" w:after="90" w:line="36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26B89"/>
          <w:sz w:val="30"/>
          <w:szCs w:val="30"/>
          <w:lang w:eastAsia="it-IT"/>
        </w:rPr>
      </w:pPr>
      <w:r w:rsidRPr="007310D6">
        <w:rPr>
          <w:rFonts w:ascii="Arial" w:eastAsia="Times New Roman" w:hAnsi="Arial" w:cs="Arial"/>
          <w:b/>
          <w:bCs/>
          <w:color w:val="026B89"/>
          <w:sz w:val="30"/>
          <w:szCs w:val="30"/>
          <w:lang w:eastAsia="it-IT"/>
        </w:rPr>
        <w:t>1. La realtà è «socialmente costruita».</w:t>
      </w:r>
    </w:p>
    <w:p w:rsidR="007310D6" w:rsidRPr="007310D6" w:rsidRDefault="007310D6" w:rsidP="00E92BC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Il testo classico del </w:t>
      </w:r>
      <w:proofErr w:type="spellStart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Costruzionismo</w:t>
      </w:r>
      <w:proofErr w:type="spellEnd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si intitola appunto La realtà come costruzione sociale ed è stato scritto nel 1967 dal sociologo tedesco </w:t>
      </w:r>
      <w:r w:rsidRPr="007310D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it-IT"/>
        </w:rPr>
        <w:t>Peter Berger</w:t>
      </w:r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 con il collega statunitense </w:t>
      </w:r>
      <w:r w:rsidRPr="007310D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it-IT"/>
        </w:rPr>
        <w:t xml:space="preserve">Thomas </w:t>
      </w:r>
      <w:proofErr w:type="spellStart"/>
      <w:r w:rsidRPr="007310D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it-IT"/>
        </w:rPr>
        <w:t>Luckmann</w:t>
      </w:r>
      <w:proofErr w:type="spellEnd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. Questi autori affermano che la realtà non è semplicemente un «dato di fatto» a cui noi abbiamo accesso diretto. Il nostro modo di comprendere la realtà è qualcosa che dobbiamo «costruire» basandoci, almeno in parte, sulla nostra </w:t>
      </w:r>
      <w:r w:rsidRPr="007310D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it-IT"/>
        </w:rPr>
        <w:t>soggettiva percezione del mondo</w:t>
      </w:r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. Questa percezione è inevitabilmente diversa da un individuo all’altro, ma tuttavia ha anche vari elementi di uniformità, dato che ha una </w:t>
      </w:r>
      <w:r w:rsidRPr="007310D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it-IT"/>
        </w:rPr>
        <w:t>base sociale</w:t>
      </w:r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: infatti, essa è in buona parte modellata dalla cultura cui l’individuo appartiene.</w:t>
      </w:r>
    </w:p>
    <w:p w:rsidR="007310D6" w:rsidRPr="007310D6" w:rsidRDefault="007310D6" w:rsidP="00E92BCA">
      <w:pPr>
        <w:spacing w:before="180" w:after="90" w:line="36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26B89"/>
          <w:sz w:val="30"/>
          <w:szCs w:val="30"/>
          <w:lang w:eastAsia="it-IT"/>
        </w:rPr>
      </w:pPr>
      <w:r w:rsidRPr="007310D6">
        <w:rPr>
          <w:rFonts w:ascii="Arial" w:eastAsia="Times New Roman" w:hAnsi="Arial" w:cs="Arial"/>
          <w:b/>
          <w:bCs/>
          <w:color w:val="026B89"/>
          <w:sz w:val="30"/>
          <w:szCs w:val="30"/>
          <w:lang w:eastAsia="it-IT"/>
        </w:rPr>
        <w:t>2. La conoscenza è storicamente e culturalmente specifica.</w:t>
      </w:r>
    </w:p>
    <w:p w:rsidR="007310D6" w:rsidRPr="007310D6" w:rsidRDefault="007310D6" w:rsidP="00E92BC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Ciò che intendiamo quando parliamo di «conoscenza» varia nel tempo e da un contesto culturale all’altro. In altri termini, la nostra </w:t>
      </w:r>
      <w:r w:rsidRPr="007310D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it-IT"/>
        </w:rPr>
        <w:t>conoscenza del mondo</w:t>
      </w:r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 dipende dal </w:t>
      </w:r>
      <w:r w:rsidRPr="007310D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it-IT"/>
        </w:rPr>
        <w:t>momento storico</w:t>
      </w:r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 in cui ci troviamo (ad esempio, a differenza di un tempo oggi la nostra idea della Terra non è più quella di una superficie piatta). Inoltre, i valori importanti nella nostra </w:t>
      </w:r>
      <w:r w:rsidRPr="007310D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it-IT"/>
        </w:rPr>
        <w:t>cultura</w:t>
      </w:r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 modellano la nostra percezione del mondo esterno: ogni cultura dà più attenzione a certi aspetti della realtà, e contemporaneamente ne maschera o ne trascura altri. Dunque, non possiamo giungere a una conoscenza definitiva neanche riguardo alla «natura umana». La società cambia di continuo e, insieme ad essa, cambia anche il nostro modo di capire il mondo.</w:t>
      </w:r>
    </w:p>
    <w:p w:rsidR="007310D6" w:rsidRPr="007310D6" w:rsidRDefault="007310D6" w:rsidP="00E92BCA">
      <w:pPr>
        <w:spacing w:before="180" w:after="90" w:line="36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26B89"/>
          <w:sz w:val="30"/>
          <w:szCs w:val="30"/>
          <w:lang w:eastAsia="it-IT"/>
        </w:rPr>
      </w:pPr>
      <w:r w:rsidRPr="007310D6">
        <w:rPr>
          <w:rFonts w:ascii="Arial" w:eastAsia="Times New Roman" w:hAnsi="Arial" w:cs="Arial"/>
          <w:b/>
          <w:bCs/>
          <w:color w:val="026B89"/>
          <w:sz w:val="30"/>
          <w:szCs w:val="30"/>
          <w:lang w:eastAsia="it-IT"/>
        </w:rPr>
        <w:t>3. Conoscenza e azione sono interrelate.</w:t>
      </w:r>
    </w:p>
    <w:p w:rsidR="007310D6" w:rsidRPr="007310D6" w:rsidRDefault="007310D6" w:rsidP="00E92BCA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Le nostre conoscenze influenzano le nostre azioni, e ciò che facciamo influenza a sua volta le nostre conoscenze. Questo vale sia a livello individuale sia a livello sociale, e ha una notevole importanza in relazione a come consideriamo i problemi sociali: i problemi sociali non esistono di per se stessi, sono invece socialmente costruiti. Ad esempio:</w:t>
      </w:r>
    </w:p>
    <w:p w:rsidR="007310D6" w:rsidRPr="007310D6" w:rsidRDefault="007310D6" w:rsidP="00E92BC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7310D6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 xml:space="preserve">Per secoli, l’alcolismo è stato considerato un «vizio»: secondo questa prospettiva, l’alcolista ha problemi con il bere perché è un amorale. Una tipica risposta al vizio dell’alcolista è stata, in passato, la prigione. L’idea dell’alcolismo come vizio è all’origine dei sentimenti di colpa e di vergogna che vive una famiglia con problemi </w:t>
      </w:r>
      <w:proofErr w:type="spellStart"/>
      <w:r w:rsidRPr="007310D6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alcolcorrelati</w:t>
      </w:r>
      <w:proofErr w:type="spellEnd"/>
      <w:r w:rsidRPr="007310D6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, che con difficoltà manifesta la propria situazione e chiede aiuto. La società, parallelamente, emargina la famiglia.</w:t>
      </w:r>
    </w:p>
    <w:p w:rsidR="007310D6" w:rsidRPr="007310D6" w:rsidRDefault="007310D6" w:rsidP="00E92BCA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Dal secolo scorso, si è fatta strada un’altra concezione dell’alcolismo, che lo considera come una «malattia». Questa modalità di vedere l’alcolismo è stata utile, perché le persone con problemi </w:t>
      </w:r>
      <w:proofErr w:type="spellStart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alcolcorrelati</w:t>
      </w:r>
      <w:proofErr w:type="spellEnd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sono state trattate alla stregua di altri malati da curare e non più come viziosi da punire. Nello stesso tempo, però, ha portato a una deresponsabilizzazione della persona, della famiglia e della società in generale: se è una malattia, nessuno è responsabile.</w:t>
      </w:r>
    </w:p>
    <w:p w:rsidR="007310D6" w:rsidRPr="007310D6" w:rsidRDefault="007310D6" w:rsidP="00E92BCA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Da questo punto di vista, il </w:t>
      </w:r>
      <w:proofErr w:type="spellStart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Costruzionismo</w:t>
      </w:r>
      <w:proofErr w:type="spellEnd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sociale ha molto in comune con il concetto </w:t>
      </w:r>
      <w:proofErr w:type="spellStart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poststrutturalista</w:t>
      </w:r>
      <w:proofErr w:type="spellEnd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di «discorso», come lo intende Foucault.</w:t>
      </w:r>
    </w:p>
    <w:p w:rsidR="007310D6" w:rsidRPr="007310D6" w:rsidRDefault="007310D6" w:rsidP="00E92BCA">
      <w:pPr>
        <w:spacing w:before="180" w:after="90" w:line="36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26B89"/>
          <w:sz w:val="30"/>
          <w:szCs w:val="30"/>
          <w:lang w:eastAsia="it-IT"/>
        </w:rPr>
      </w:pPr>
      <w:r w:rsidRPr="007310D6">
        <w:rPr>
          <w:rFonts w:ascii="Arial" w:eastAsia="Times New Roman" w:hAnsi="Arial" w:cs="Arial"/>
          <w:b/>
          <w:bCs/>
          <w:color w:val="026B89"/>
          <w:sz w:val="30"/>
          <w:szCs w:val="30"/>
          <w:lang w:eastAsia="it-IT"/>
        </w:rPr>
        <w:t>4. Il ruolo chiave del linguaggio.</w:t>
      </w:r>
    </w:p>
    <w:p w:rsidR="007310D6" w:rsidRPr="007310D6" w:rsidRDefault="007310D6" w:rsidP="00E92BC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Il </w:t>
      </w:r>
      <w:r w:rsidRPr="007310D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it-IT"/>
        </w:rPr>
        <w:t>linguaggio</w:t>
      </w:r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 svolge una funzione di intermediazione fra gli individui e la società. Non è solo un sistema di comunicazione, ma anche un </w:t>
      </w:r>
      <w:r w:rsidRPr="007310D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it-IT"/>
        </w:rPr>
        <w:t>sistema di rappresentazione</w:t>
      </w:r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 sociale e, come tale, esercita un’enorme influenza nel modellare il modo in cui noi vediamo il mondo (ossia, costruiamo la nostra realtà).</w:t>
      </w:r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br/>
        <w:t xml:space="preserve">Per vari aspetti, il </w:t>
      </w:r>
      <w:proofErr w:type="spellStart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Costruzionismo</w:t>
      </w:r>
      <w:proofErr w:type="spellEnd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si sovrappone ad alcune altre prospettive teoriche, in particolare l’Esistenzialismo, il Postmodernismo e il </w:t>
      </w:r>
      <w:proofErr w:type="spellStart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Poststrutturalismo</w:t>
      </w:r>
      <w:proofErr w:type="spellEnd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.</w:t>
      </w:r>
    </w:p>
    <w:p w:rsidR="007310D6" w:rsidRPr="007310D6" w:rsidRDefault="007310D6" w:rsidP="00E92BCA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lastRenderedPageBreak/>
        <w:t xml:space="preserve">Quali implicazioni ha il </w:t>
      </w:r>
      <w:proofErr w:type="spellStart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Costruzionismo</w:t>
      </w:r>
      <w:proofErr w:type="spellEnd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per il Lavoro sociale?</w:t>
      </w:r>
    </w:p>
    <w:p w:rsidR="007310D6" w:rsidRPr="007310D6" w:rsidRDefault="007310D6" w:rsidP="00E92BCA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• Non possiamo dare per scontato che il modo in cui un assistente sociale o un educatore vedono il mondo e il modo in cui invece lo vedono i loro utenti siano gli stessi: possono essere visioni enormemente diverse, e incompatibili per alcuni aspetti.</w:t>
      </w:r>
    </w:p>
    <w:p w:rsidR="007310D6" w:rsidRPr="007310D6" w:rsidRDefault="007310D6" w:rsidP="00E92BCA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• Dunque, per riuscire a collaborare con gli utenti e anche con altri operatori, dobbiamo tenere conto di come ciascuno di noi vede la situazione su cui stiamo lavorando.</w:t>
      </w:r>
    </w:p>
    <w:p w:rsidR="007310D6" w:rsidRPr="007310D6" w:rsidRDefault="007310D6" w:rsidP="00E92BCA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• Il significato che le persone danno a ciò che accade è molto importante. Il lavoro degli operatori sociali non consiste soltanto nel fornire servizi «oggettivi», ma anche nell’entrare in relazione con le conoscenze soggettive delle persone.</w:t>
      </w:r>
    </w:p>
    <w:p w:rsidR="007310D6" w:rsidRPr="007310D6" w:rsidRDefault="007310D6" w:rsidP="00E92BCA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• Il migliore aiuto che possiamo dare alle persone consiste nell’accompagnarle a </w:t>
      </w:r>
      <w:proofErr w:type="spellStart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ri</w:t>
      </w:r>
      <w:proofErr w:type="spellEnd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-negoziare le attribuzioni di significato di alcuni aspetti della loro vita, ad esempio quelli in cui vengono definite — e/o si autodefiniscono — oppresse, emarginate, incapaci di migliorare.</w:t>
      </w:r>
    </w:p>
    <w:p w:rsidR="007310D6" w:rsidRPr="007310D6" w:rsidRDefault="007310D6" w:rsidP="00E92BCA">
      <w:p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Le connessioni tra teoria </w:t>
      </w:r>
      <w:proofErr w:type="spellStart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costruzionista</w:t>
      </w:r>
      <w:proofErr w:type="spellEnd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e Lavoro sociale sono state studiate, in particolare, dai britannici Nigel </w:t>
      </w:r>
      <w:proofErr w:type="spellStart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Parton</w:t>
      </w:r>
      <w:proofErr w:type="spellEnd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e Patrick </w:t>
      </w:r>
      <w:proofErr w:type="spellStart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O’Byrne</w:t>
      </w:r>
      <w:proofErr w:type="spellEnd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, autori del testo Costruire soluzioni sociali. </w:t>
      </w:r>
      <w:proofErr w:type="spellStart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Costruzionismo</w:t>
      </w:r>
      <w:proofErr w:type="spellEnd"/>
      <w:r w:rsidRPr="007310D6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e nuove pratiche di lavoro sociale, pubblicato nel 2000 (vedi in questo numero a pagina 17).</w:t>
      </w:r>
    </w:p>
    <w:p w:rsidR="007310D6" w:rsidRPr="007310D6" w:rsidRDefault="007310D6" w:rsidP="00E92BC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7310D6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 xml:space="preserve">Adattamento da Thompson N. e Thompson S. (2008), The Social Work Companion, </w:t>
      </w:r>
      <w:proofErr w:type="spellStart"/>
      <w:r w:rsidRPr="007310D6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Palgrave</w:t>
      </w:r>
      <w:proofErr w:type="spellEnd"/>
      <w:r w:rsidRPr="007310D6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 xml:space="preserve"> </w:t>
      </w:r>
      <w:proofErr w:type="spellStart"/>
      <w:r w:rsidRPr="007310D6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it-IT"/>
        </w:rPr>
        <w:t>MacMillan</w:t>
      </w:r>
      <w:proofErr w:type="spellEnd"/>
    </w:p>
    <w:p w:rsidR="007F6BAB" w:rsidRDefault="007F6BAB" w:rsidP="00E92BCA">
      <w:pPr>
        <w:jc w:val="both"/>
      </w:pPr>
      <w:bookmarkStart w:id="0" w:name="_GoBack"/>
      <w:bookmarkEnd w:id="0"/>
    </w:p>
    <w:sectPr w:rsidR="007F6B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D6"/>
    <w:rsid w:val="007310D6"/>
    <w:rsid w:val="007F6BAB"/>
    <w:rsid w:val="00E9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3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31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1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7310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7310D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3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310D6"/>
    <w:rPr>
      <w:b/>
      <w:bCs/>
    </w:rPr>
  </w:style>
  <w:style w:type="character" w:styleId="Enfasicorsivo">
    <w:name w:val="Emphasis"/>
    <w:basedOn w:val="Carpredefinitoparagrafo"/>
    <w:uiPriority w:val="20"/>
    <w:qFormat/>
    <w:rsid w:val="007310D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31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10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3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31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1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7310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7310D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3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310D6"/>
    <w:rPr>
      <w:b/>
      <w:bCs/>
    </w:rPr>
  </w:style>
  <w:style w:type="character" w:styleId="Enfasicorsivo">
    <w:name w:val="Emphasis"/>
    <w:basedOn w:val="Carpredefinitoparagrafo"/>
    <w:uiPriority w:val="20"/>
    <w:qFormat/>
    <w:rsid w:val="007310D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31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10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O</dc:creator>
  <cp:lastModifiedBy>Giulia O</cp:lastModifiedBy>
  <cp:revision>2</cp:revision>
  <dcterms:created xsi:type="dcterms:W3CDTF">2019-04-06T10:59:00Z</dcterms:created>
  <dcterms:modified xsi:type="dcterms:W3CDTF">2019-04-06T11:01:00Z</dcterms:modified>
</cp:coreProperties>
</file>